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D961C4">
      <w:pPr>
        <w:spacing w:line="360" w:lineRule="auto"/>
        <w:ind w:firstLine="562" w:firstLineChars="100"/>
        <w:jc w:val="center"/>
        <w:rPr>
          <w:rFonts w:ascii="宋体" w:hAnsi="宋体"/>
          <w:b/>
          <w:sz w:val="56"/>
          <w:szCs w:val="52"/>
        </w:rPr>
      </w:pPr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6350" b="635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46643">
      <w:pPr>
        <w:spacing w:line="360" w:lineRule="auto"/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维普毕业设计（论文）管理系统</w:t>
      </w:r>
    </w:p>
    <w:p w14:paraId="216EB470">
      <w:pPr>
        <w:spacing w:line="360" w:lineRule="auto"/>
        <w:rPr>
          <w:rFonts w:ascii="宋体" w:hAnsi="宋体"/>
        </w:rPr>
      </w:pPr>
    </w:p>
    <w:p w14:paraId="5541A8A1">
      <w:pPr>
        <w:spacing w:line="360" w:lineRule="auto"/>
        <w:jc w:val="center"/>
        <w:rPr>
          <w:rFonts w:hint="default" w:ascii="宋体" w:hAnsi="宋体" w:eastAsia="宋体"/>
          <w:sz w:val="48"/>
          <w:szCs w:val="48"/>
          <w:lang w:val="en-US" w:eastAsia="zh-CN"/>
        </w:rPr>
      </w:pPr>
      <w:r>
        <w:rPr>
          <w:rFonts w:hint="eastAsia" w:ascii="宋体" w:hAnsi="宋体"/>
          <w:sz w:val="48"/>
          <w:szCs w:val="48"/>
          <w:lang w:val="en-US" w:eastAsia="zh-CN"/>
        </w:rPr>
        <w:t>闽江学院</w:t>
      </w:r>
    </w:p>
    <w:p w14:paraId="007E1FBF">
      <w:pPr>
        <w:spacing w:line="360" w:lineRule="auto"/>
        <w:rPr>
          <w:rFonts w:ascii="宋体" w:hAnsi="宋体"/>
        </w:rPr>
      </w:pPr>
    </w:p>
    <w:p w14:paraId="65E4D68C">
      <w:pPr>
        <w:spacing w:line="360" w:lineRule="auto"/>
        <w:rPr>
          <w:rFonts w:ascii="宋体" w:hAnsi="宋体"/>
        </w:rPr>
      </w:pPr>
    </w:p>
    <w:p w14:paraId="74499C20">
      <w:pPr>
        <w:spacing w:line="360" w:lineRule="auto"/>
        <w:rPr>
          <w:rFonts w:ascii="宋体" w:hAnsi="宋体"/>
        </w:rPr>
      </w:pPr>
    </w:p>
    <w:p w14:paraId="47E64896">
      <w:pPr>
        <w:spacing w:line="360" w:lineRule="auto"/>
        <w:rPr>
          <w:rFonts w:ascii="宋体" w:hAnsi="宋体"/>
        </w:rPr>
      </w:pPr>
    </w:p>
    <w:p w14:paraId="5E33FE7E">
      <w:pPr>
        <w:spacing w:line="360" w:lineRule="auto"/>
        <w:rPr>
          <w:rFonts w:ascii="宋体" w:hAnsi="宋体"/>
        </w:rPr>
      </w:pPr>
    </w:p>
    <w:p w14:paraId="7B9ED77D">
      <w:pPr>
        <w:spacing w:line="360" w:lineRule="auto"/>
        <w:rPr>
          <w:rFonts w:ascii="宋体" w:hAnsi="宋体"/>
        </w:rPr>
      </w:pPr>
    </w:p>
    <w:p w14:paraId="10EABCEF">
      <w:pPr>
        <w:spacing w:line="360" w:lineRule="auto"/>
        <w:jc w:val="center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指导教师</w:t>
      </w:r>
      <w:r>
        <w:rPr>
          <w:rFonts w:hint="eastAsia"/>
          <w:b/>
          <w:sz w:val="56"/>
          <w:szCs w:val="52"/>
          <w:lang w:val="en-US" w:eastAsia="zh-CN"/>
        </w:rPr>
        <w:t>简版</w:t>
      </w:r>
      <w:r>
        <w:rPr>
          <w:rFonts w:hint="eastAsia" w:ascii="宋体" w:hAnsi="宋体"/>
          <w:b/>
          <w:sz w:val="56"/>
          <w:szCs w:val="52"/>
        </w:rPr>
        <w:t>操作手册</w:t>
      </w:r>
    </w:p>
    <w:p w14:paraId="04766AA0">
      <w:pPr>
        <w:spacing w:line="360" w:lineRule="auto"/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（完整流程操作）</w:t>
      </w:r>
    </w:p>
    <w:p w14:paraId="4B7C4DBF">
      <w:pPr>
        <w:spacing w:line="360" w:lineRule="auto"/>
        <w:rPr>
          <w:rFonts w:ascii="宋体" w:hAnsi="宋体"/>
        </w:rPr>
      </w:pPr>
    </w:p>
    <w:p w14:paraId="48518EE0">
      <w:pPr>
        <w:spacing w:line="360" w:lineRule="auto"/>
        <w:rPr>
          <w:rFonts w:ascii="宋体" w:hAnsi="宋体"/>
        </w:rPr>
      </w:pPr>
    </w:p>
    <w:p w14:paraId="1E7C40DE">
      <w:pPr>
        <w:spacing w:line="360" w:lineRule="auto"/>
        <w:rPr>
          <w:rFonts w:ascii="宋体" w:hAnsi="宋体"/>
        </w:rPr>
      </w:pPr>
    </w:p>
    <w:p w14:paraId="51493EE3">
      <w:pPr>
        <w:spacing w:line="360" w:lineRule="auto"/>
        <w:rPr>
          <w:rFonts w:ascii="宋体" w:hAnsi="宋体"/>
        </w:rPr>
      </w:pPr>
    </w:p>
    <w:p w14:paraId="79616767">
      <w:pPr>
        <w:spacing w:line="360" w:lineRule="auto"/>
        <w:rPr>
          <w:rFonts w:ascii="宋体" w:hAnsi="宋体"/>
        </w:rPr>
      </w:pPr>
    </w:p>
    <w:p w14:paraId="4F7176F1">
      <w:pPr>
        <w:spacing w:line="360" w:lineRule="auto"/>
        <w:rPr>
          <w:rFonts w:ascii="宋体" w:hAnsi="宋体"/>
        </w:rPr>
      </w:pPr>
    </w:p>
    <w:p w14:paraId="74923834">
      <w:pPr>
        <w:spacing w:line="360" w:lineRule="auto"/>
        <w:rPr>
          <w:rFonts w:ascii="宋体" w:hAnsi="宋体"/>
        </w:rPr>
      </w:pPr>
    </w:p>
    <w:p w14:paraId="0166C60E">
      <w:pPr>
        <w:spacing w:line="360" w:lineRule="auto"/>
        <w:rPr>
          <w:rFonts w:ascii="宋体" w:hAnsi="宋体"/>
        </w:rPr>
      </w:pPr>
    </w:p>
    <w:p w14:paraId="439DB9F2"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重庆泛语科技有限公司</w:t>
      </w:r>
    </w:p>
    <w:p w14:paraId="7F79072D"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</w:p>
    <w:p w14:paraId="0C8F3782"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</w:p>
    <w:sdt>
      <w:sdtPr>
        <w:rPr>
          <w:rFonts w:hint="eastAsia"/>
        </w:rPr>
        <w:id w:val="147473512"/>
        <w:docPartObj>
          <w:docPartGallery w:val="Table of Contents"/>
          <w:docPartUnique/>
        </w:docPartObj>
      </w:sdtPr>
      <w:sdtEndPr>
        <w:rPr>
          <w:rFonts w:hint="eastAsia" w:ascii="宋体" w:hAnsi="宋体"/>
          <w:szCs w:val="30"/>
        </w:rPr>
      </w:sdtEndPr>
      <w:sdtContent>
        <w:p w14:paraId="6234EB41">
          <w:pPr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3D9E5DD"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/>
              <w:sz w:val="30"/>
              <w:szCs w:val="30"/>
            </w:rPr>
            <w:fldChar w:fldCharType="begin"/>
          </w:r>
          <w:r>
            <w:rPr>
              <w:rFonts w:hint="eastAsia" w:ascii="宋体" w:hAnsi="宋体"/>
              <w:sz w:val="30"/>
              <w:szCs w:val="30"/>
            </w:rPr>
            <w:instrText xml:space="preserve">TOC \o "1-3" \h \u </w:instrText>
          </w:r>
          <w:r>
            <w:rPr>
              <w:rFonts w:hint="eastAsia" w:ascii="宋体" w:hAnsi="宋体"/>
              <w:sz w:val="30"/>
              <w:szCs w:val="30"/>
            </w:rPr>
            <w:fldChar w:fldCharType="separate"/>
          </w: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_Toc17489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 w:ascii="宋体" w:hAnsi="宋体" w:eastAsia="宋体" w:cs="宋体"/>
            </w:rPr>
            <w:t>一、系统登录</w:t>
          </w:r>
          <w:r>
            <w:tab/>
          </w:r>
          <w:r>
            <w:fldChar w:fldCharType="begin"/>
          </w:r>
          <w:r>
            <w:instrText xml:space="preserve"> PAGEREF _Toc17489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5962D088"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_Toc5903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</w:rPr>
            <w:t>三、系统主流程及操作方法</w:t>
          </w:r>
          <w:r>
            <w:tab/>
          </w:r>
          <w:r>
            <w:fldChar w:fldCharType="begin"/>
          </w:r>
          <w:r>
            <w:instrText xml:space="preserve"> PAGEREF _Toc5903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2BD1916E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_Toc6312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 w:ascii="微软雅黑" w:hAnsi="微软雅黑" w:cs="微软雅黑"/>
            </w:rPr>
            <w:t>（一）课题选题</w:t>
          </w:r>
          <w:r>
            <w:tab/>
          </w:r>
          <w:r>
            <w:fldChar w:fldCharType="begin"/>
          </w:r>
          <w:r>
            <w:instrText xml:space="preserve"> PAGEREF _Toc6312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1241CCD0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_Toc9556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  <w:bCs/>
              <w:szCs w:val="28"/>
            </w:rPr>
            <w:t>1.指导教师审核课题</w:t>
          </w:r>
          <w:r>
            <w:tab/>
          </w:r>
          <w:r>
            <w:fldChar w:fldCharType="begin"/>
          </w:r>
          <w:r>
            <w:instrText xml:space="preserve"> PAGEREF _Toc9556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6A1CABAB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_Toc3610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</w:t>
          </w:r>
          <w:r>
            <w:rPr>
              <w:rFonts w:hint="eastAsia"/>
              <w:bCs/>
              <w:szCs w:val="28"/>
            </w:rPr>
            <w:t>.指导教师</w:t>
          </w:r>
          <w:r>
            <w:rPr>
              <w:rFonts w:hint="eastAsia"/>
              <w:bCs/>
              <w:szCs w:val="28"/>
              <w:lang w:val="en-US" w:eastAsia="zh-CN"/>
            </w:rPr>
            <w:t>审核选题</w:t>
          </w:r>
          <w:r>
            <w:tab/>
          </w:r>
          <w:r>
            <w:fldChar w:fldCharType="begin"/>
          </w:r>
          <w:r>
            <w:instrText xml:space="preserve"> PAGEREF _Toc3610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6A315EE8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_Toc7638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</w:t>
          </w:r>
          <w:r>
            <w:rPr>
              <w:rFonts w:hint="eastAsia"/>
              <w:bCs/>
              <w:szCs w:val="28"/>
            </w:rPr>
            <w:t>.指导教师</w:t>
          </w:r>
          <w:r>
            <w:rPr>
              <w:rFonts w:hint="eastAsia"/>
              <w:bCs/>
              <w:szCs w:val="28"/>
              <w:lang w:val="en-US" w:eastAsia="zh-CN"/>
            </w:rPr>
            <w:t>审核课题信息变更</w:t>
          </w:r>
          <w:r>
            <w:tab/>
          </w:r>
          <w:r>
            <w:fldChar w:fldCharType="begin"/>
          </w:r>
          <w:r>
            <w:instrText xml:space="preserve"> PAGEREF _Toc7638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12CA57FF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_Toc27940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 w:ascii="微软雅黑" w:hAnsi="微软雅黑" w:cs="微软雅黑"/>
            </w:rPr>
            <w:t>（二）过程管理</w:t>
          </w:r>
          <w:r>
            <w:tab/>
          </w:r>
          <w:r>
            <w:fldChar w:fldCharType="begin"/>
          </w:r>
          <w:r>
            <w:instrText xml:space="preserve"> PAGEREF _Toc27940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6D5687EA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_Toc11685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  <w:bCs/>
              <w:szCs w:val="28"/>
            </w:rPr>
            <w:t>1.指导教师</w:t>
          </w:r>
          <w:r>
            <w:rPr>
              <w:rFonts w:hint="eastAsia"/>
              <w:bCs/>
              <w:szCs w:val="28"/>
              <w:lang w:val="en-US" w:eastAsia="zh-CN"/>
            </w:rPr>
            <w:t>审核业务（开题报告为例）</w:t>
          </w:r>
          <w:r>
            <w:tab/>
          </w:r>
          <w:r>
            <w:fldChar w:fldCharType="begin"/>
          </w:r>
          <w:r>
            <w:instrText xml:space="preserve"> PAGEREF _Toc11685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346F45EF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_Toc8979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</w:t>
          </w:r>
          <w:r>
            <w:rPr>
              <w:rFonts w:hint="eastAsia"/>
              <w:bCs/>
              <w:szCs w:val="28"/>
            </w:rPr>
            <w:t>.指导教师</w:t>
          </w:r>
          <w:r>
            <w:rPr>
              <w:rFonts w:hint="eastAsia"/>
              <w:bCs/>
              <w:szCs w:val="28"/>
              <w:lang w:val="en-US" w:eastAsia="zh-CN"/>
            </w:rPr>
            <w:t>提交业务（任务书为例）</w:t>
          </w:r>
          <w:r>
            <w:tab/>
          </w:r>
          <w:r>
            <w:fldChar w:fldCharType="begin"/>
          </w:r>
          <w:r>
            <w:instrText xml:space="preserve"> PAGEREF _Toc8979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32735FED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_Toc5993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</w:rPr>
            <w:t>（</w:t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</w:rPr>
            <w:t>）</w:t>
          </w:r>
          <w:r>
            <w:rPr>
              <w:rFonts w:hint="eastAsia"/>
              <w:lang w:val="en-US" w:eastAsia="zh-CN"/>
            </w:rPr>
            <w:t>评分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_Toc5993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3F0C8041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_Toc4148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1.分配评阅教师</w:t>
          </w:r>
          <w:r>
            <w:tab/>
          </w:r>
          <w:r>
            <w:fldChar w:fldCharType="begin"/>
          </w:r>
          <w:r>
            <w:instrText xml:space="preserve"> PAGEREF _Toc4148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251CF35F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_Toc26973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</w:t>
          </w:r>
          <w:r>
            <w:rPr>
              <w:rFonts w:hint="eastAsia"/>
              <w:bCs/>
              <w:szCs w:val="28"/>
            </w:rPr>
            <w:t>.</w:t>
          </w:r>
          <w:r>
            <w:rPr>
              <w:rFonts w:hint="eastAsia"/>
              <w:bCs/>
              <w:szCs w:val="28"/>
              <w:lang w:val="en-US" w:eastAsia="zh-CN"/>
            </w:rPr>
            <w:t>指导教师评分</w:t>
          </w:r>
          <w:r>
            <w:tab/>
          </w:r>
          <w:r>
            <w:fldChar w:fldCharType="begin"/>
          </w:r>
          <w:r>
            <w:instrText xml:space="preserve"> PAGEREF _Toc26973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691B78DD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_Toc1140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</w:rPr>
            <w:t>（</w:t>
          </w:r>
          <w:r>
            <w:rPr>
              <w:rFonts w:hint="eastAsia"/>
              <w:lang w:val="en-US" w:eastAsia="zh-CN"/>
            </w:rPr>
            <w:t>四</w:t>
          </w:r>
          <w:r>
            <w:rPr>
              <w:rFonts w:hint="eastAsia"/>
            </w:rPr>
            <w:t>）</w:t>
          </w:r>
          <w:r>
            <w:rPr>
              <w:rFonts w:hint="eastAsia"/>
              <w:lang w:val="en-US" w:eastAsia="zh-CN"/>
            </w:rPr>
            <w:t>论文检测</w:t>
          </w:r>
          <w:r>
            <w:tab/>
          </w:r>
          <w:r>
            <w:fldChar w:fldCharType="begin"/>
          </w:r>
          <w:r>
            <w:instrText xml:space="preserve"> PAGEREF _Toc1140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19F75524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_Toc11245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1.检测环节</w:t>
          </w:r>
          <w:r>
            <w:tab/>
          </w:r>
          <w:r>
            <w:fldChar w:fldCharType="begin"/>
          </w:r>
          <w:r>
            <w:instrText xml:space="preserve"> PAGEREF _Toc11245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4E45A2F6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/>
              <w:szCs w:val="30"/>
            </w:rPr>
            <w:fldChar w:fldCharType="begin"/>
          </w:r>
          <w:r>
            <w:rPr>
              <w:rFonts w:hint="eastAsia" w:ascii="宋体" w:hAnsi="宋体"/>
              <w:szCs w:val="30"/>
            </w:rPr>
            <w:instrText xml:space="preserve"> HYPERLINK \l _Toc17910 </w:instrText>
          </w:r>
          <w:r>
            <w:rPr>
              <w:rFonts w:hint="eastAsia" w:ascii="宋体" w:hAnsi="宋体"/>
              <w:szCs w:val="30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</w:t>
          </w:r>
          <w:r>
            <w:rPr>
              <w:rFonts w:hint="eastAsia"/>
              <w:bCs/>
              <w:szCs w:val="28"/>
            </w:rPr>
            <w:t>.</w:t>
          </w:r>
          <w:r>
            <w:rPr>
              <w:rFonts w:hint="eastAsia"/>
              <w:bCs/>
              <w:szCs w:val="28"/>
              <w:lang w:val="en-US" w:eastAsia="zh-CN"/>
            </w:rPr>
            <w:t>指导教师审核教育部抽检材料</w:t>
          </w:r>
          <w:r>
            <w:tab/>
          </w:r>
          <w:r>
            <w:fldChar w:fldCharType="begin"/>
          </w:r>
          <w:r>
            <w:instrText xml:space="preserve"> PAGEREF _Toc17910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/>
              <w:szCs w:val="30"/>
            </w:rPr>
            <w:fldChar w:fldCharType="end"/>
          </w:r>
        </w:p>
        <w:p w14:paraId="60E895F4">
          <w:pPr>
            <w:snapToGrid w:val="0"/>
            <w:rPr>
              <w:rFonts w:ascii="宋体" w:hAnsi="宋体"/>
              <w:szCs w:val="30"/>
            </w:rPr>
          </w:pPr>
          <w:r>
            <w:rPr>
              <w:rFonts w:hint="eastAsia" w:ascii="宋体" w:hAnsi="宋体"/>
              <w:szCs w:val="30"/>
            </w:rPr>
            <w:fldChar w:fldCharType="end"/>
          </w:r>
        </w:p>
      </w:sdtContent>
    </w:sdt>
    <w:p w14:paraId="2CDAE0CB">
      <w:pPr>
        <w:pStyle w:val="15"/>
        <w:widowControl/>
        <w:snapToGrid w:val="0"/>
        <w:spacing w:before="156" w:beforeLines="50" w:after="156" w:afterLines="50"/>
        <w:ind w:firstLineChars="0"/>
        <w:jc w:val="left"/>
        <w:outlineLvl w:val="0"/>
        <w:rPr>
          <w:rFonts w:ascii="宋体" w:hAnsi="宋体"/>
          <w:szCs w:val="30"/>
        </w:rPr>
      </w:pPr>
      <w:r>
        <w:rPr>
          <w:rFonts w:ascii="宋体" w:hAnsi="宋体"/>
          <w:szCs w:val="30"/>
        </w:rPr>
        <w:br w:type="page"/>
      </w:r>
      <w:bookmarkStart w:id="0" w:name="_Toc17489"/>
      <w:r>
        <w:rPr>
          <w:rStyle w:val="14"/>
          <w:rFonts w:hint="eastAsia" w:ascii="宋体" w:hAnsi="宋体" w:eastAsia="宋体" w:cs="宋体"/>
        </w:rPr>
        <w:t>一、系统登录</w:t>
      </w:r>
      <w:bookmarkEnd w:id="0"/>
    </w:p>
    <w:p w14:paraId="231B29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/>
        <w:ind w:firstLine="480" w:firstLineChars="200"/>
        <w:textAlignment w:val="auto"/>
      </w:pPr>
      <w:r>
        <w:rPr>
          <w:rFonts w:hint="eastAsia"/>
        </w:rPr>
        <w:t>★第1步：打开系统登录页面:https://cloud.fanyu.com/organ/lib/mju</w:t>
      </w:r>
    </w:p>
    <w:p w14:paraId="59E3B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after="156"/>
        <w:ind w:firstLine="48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</w:rPr>
        <w:t>★第2步：点击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入口（账号密码登录）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初始密码根据学校或学院通知</w:t>
      </w:r>
    </w:p>
    <w:p w14:paraId="585CDDC1">
      <w:pPr>
        <w:spacing w:before="156" w:after="156"/>
      </w:pPr>
      <w:r>
        <w:drawing>
          <wp:inline distT="0" distB="0" distL="114300" distR="114300">
            <wp:extent cx="4490085" cy="2244090"/>
            <wp:effectExtent l="0" t="0" r="571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CDBAE">
      <w:pPr>
        <w:snapToGrid w:val="0"/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  <w:lang w:val="en-US" w:eastAsia="zh-CN"/>
        </w:rPr>
        <w:t>登录之后先完善个人信息，才能进入系统</w:t>
      </w:r>
      <w:r>
        <w:rPr>
          <w:rFonts w:hint="eastAsia" w:ascii="微软雅黑" w:hAnsi="微软雅黑"/>
        </w:rPr>
        <w:t>，这里可以填写自己的个人信息、电子签名等。</w:t>
      </w:r>
      <w:r>
        <w:rPr>
          <w:rFonts w:hint="eastAsia" w:ascii="微软雅黑" w:hAnsi="微软雅黑"/>
          <w:color w:val="FF0000"/>
        </w:rPr>
        <w:t>（红色“*”为必填项，个人信息没有完善，不能进行其他操作）</w:t>
      </w:r>
    </w:p>
    <w:p w14:paraId="55EE44F0">
      <w:pPr>
        <w:snapToGrid w:val="0"/>
        <w:rPr>
          <w:rFonts w:hint="eastAsia"/>
        </w:rPr>
      </w:pPr>
      <w:r>
        <w:drawing>
          <wp:inline distT="0" distB="0" distL="114300" distR="114300">
            <wp:extent cx="2958465" cy="2005330"/>
            <wp:effectExtent l="0" t="0" r="1333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5581E">
      <w:pPr>
        <w:snapToGrid w:val="0"/>
        <w:ind w:firstLine="42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可根据自己需求在安全中心中进行绑定安全邮箱、绑定手机号、绑定微信、密码修改等操作。</w:t>
      </w:r>
    </w:p>
    <w:p w14:paraId="49F36223">
      <w:pPr>
        <w:spacing w:line="360" w:lineRule="auto"/>
      </w:pPr>
      <w:r>
        <w:drawing>
          <wp:inline distT="0" distB="0" distL="114300" distR="114300">
            <wp:extent cx="3821430" cy="2080260"/>
            <wp:effectExtent l="0" t="0" r="762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AD09">
      <w:r>
        <w:br w:type="page"/>
      </w:r>
    </w:p>
    <w:p w14:paraId="28691115">
      <w:pPr>
        <w:pStyle w:val="2"/>
        <w:snapToGrid w:val="0"/>
        <w:spacing w:before="156" w:beforeLines="50" w:after="156" w:afterLines="50" w:line="360" w:lineRule="auto"/>
        <w:ind w:firstLine="420"/>
      </w:pPr>
      <w:bookmarkStart w:id="1" w:name="_Toc19677"/>
      <w:bookmarkStart w:id="2" w:name="_Toc5903"/>
      <w:bookmarkStart w:id="3" w:name="_Toc16860"/>
      <w:r>
        <w:rPr>
          <w:rFonts w:hint="eastAsia"/>
        </w:rPr>
        <w:t>三、</w:t>
      </w:r>
      <w:bookmarkEnd w:id="1"/>
      <w:r>
        <w:rPr>
          <w:rFonts w:hint="eastAsia"/>
        </w:rPr>
        <w:t>系统主流程及操作方法</w:t>
      </w:r>
      <w:bookmarkEnd w:id="2"/>
      <w:bookmarkEnd w:id="3"/>
    </w:p>
    <w:p w14:paraId="3119EA62">
      <w:pPr>
        <w:pStyle w:val="3"/>
        <w:snapToGrid w:val="0"/>
        <w:spacing w:before="156" w:beforeLines="50" w:after="156" w:afterLines="50" w:line="240" w:lineRule="auto"/>
        <w:ind w:firstLine="420"/>
      </w:pPr>
      <w:bookmarkStart w:id="4" w:name="_Toc6312"/>
      <w:bookmarkStart w:id="5" w:name="_Toc23177"/>
      <w:bookmarkStart w:id="6" w:name="_Toc1816"/>
      <w:r>
        <w:rPr>
          <w:rFonts w:hint="eastAsia" w:ascii="微软雅黑" w:hAnsi="微软雅黑" w:cs="微软雅黑"/>
        </w:rPr>
        <w:t>（一）课题选题</w:t>
      </w:r>
      <w:bookmarkEnd w:id="4"/>
    </w:p>
    <w:p w14:paraId="1D66320B">
      <w:pPr>
        <w:bidi w:val="0"/>
        <w:ind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课题分为学生申报课题、导师申报课题后学生选题、导入课题选题，具体根据学院要求。</w:t>
      </w:r>
    </w:p>
    <w:p w14:paraId="56DCA2C8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b w:val="0"/>
          <w:bCs/>
          <w:sz w:val="28"/>
          <w:szCs w:val="28"/>
        </w:rPr>
      </w:pPr>
      <w:bookmarkStart w:id="7" w:name="_Toc9556"/>
      <w:r>
        <w:rPr>
          <w:rFonts w:hint="eastAsia"/>
          <w:b w:val="0"/>
          <w:bCs/>
          <w:sz w:val="28"/>
          <w:szCs w:val="28"/>
        </w:rPr>
        <w:t>1.</w:t>
      </w:r>
      <w:r>
        <w:rPr>
          <w:rFonts w:hint="eastAsia"/>
          <w:b w:val="0"/>
          <w:bCs/>
          <w:color w:val="FF0000"/>
          <w:sz w:val="28"/>
          <w:szCs w:val="28"/>
        </w:rPr>
        <w:t>指导教师</w:t>
      </w:r>
      <w:r>
        <w:rPr>
          <w:rFonts w:hint="eastAsia"/>
          <w:b w:val="0"/>
          <w:bCs/>
          <w:sz w:val="28"/>
          <w:szCs w:val="28"/>
        </w:rPr>
        <w:t>审核课题</w:t>
      </w:r>
      <w:bookmarkEnd w:id="7"/>
    </w:p>
    <w:p w14:paraId="68AAC892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点击左侧菜单进入“选题管理”—“课题”—“审核课题”页面。</w:t>
      </w:r>
    </w:p>
    <w:p w14:paraId="1A6ADE4D">
      <w:pPr>
        <w:snapToGrid w:val="0"/>
        <w:ind w:firstLine="480" w:firstLineChars="200"/>
        <w:rPr>
          <w:rFonts w:hint="eastAsia"/>
        </w:rPr>
      </w:pPr>
      <w:r>
        <w:rPr>
          <w:rFonts w:hint="eastAsia" w:ascii="微软雅黑" w:hAnsi="微软雅黑"/>
        </w:rPr>
        <w:t>点击“审核”按钮按钮，在弹出页面中，可查看</w:t>
      </w:r>
      <w:r>
        <w:rPr>
          <w:rFonts w:hint="eastAsia" w:ascii="微软雅黑" w:hAnsi="微软雅黑"/>
          <w:lang w:val="en-US" w:eastAsia="zh-CN"/>
        </w:rPr>
        <w:t>学生</w:t>
      </w:r>
      <w:r>
        <w:rPr>
          <w:rFonts w:hint="eastAsia" w:ascii="微软雅黑" w:hAnsi="微软雅黑"/>
        </w:rPr>
        <w:t>申报的课题信息，并进行审核意见以及审核通过与否的选择后，点击“</w:t>
      </w:r>
      <w:r>
        <w:rPr>
          <w:rFonts w:hint="eastAsia" w:ascii="微软雅黑" w:hAnsi="微软雅黑"/>
          <w:lang w:val="en-US" w:eastAsia="zh-CN"/>
        </w:rPr>
        <w:t>确定</w:t>
      </w:r>
      <w:r>
        <w:rPr>
          <w:rFonts w:hint="eastAsia" w:ascii="微软雅黑" w:hAnsi="微软雅黑"/>
        </w:rPr>
        <w:t>”审核完成</w:t>
      </w:r>
      <w:r>
        <w:rPr>
          <w:rFonts w:hint="eastAsia"/>
          <w:lang w:val="en-US" w:eastAsia="zh-CN"/>
        </w:rPr>
        <w:t>，导师审核通过后还需要专业负责人进行审核</w:t>
      </w:r>
      <w:r>
        <w:rPr>
          <w:rFonts w:hint="eastAsia" w:ascii="微软雅黑" w:hAnsi="微软雅黑"/>
        </w:rPr>
        <w:t>。（</w:t>
      </w:r>
      <w:r>
        <w:rPr>
          <w:rFonts w:hint="eastAsia" w:ascii="微软雅黑" w:hAnsi="微软雅黑"/>
          <w:color w:val="FF0000"/>
        </w:rPr>
        <w:t>此条适用学生申报课题流程</w:t>
      </w:r>
      <w:r>
        <w:rPr>
          <w:rFonts w:hint="eastAsia" w:ascii="微软雅黑" w:hAnsi="微软雅黑"/>
        </w:rPr>
        <w:t>）</w:t>
      </w:r>
    </w:p>
    <w:p w14:paraId="079E3613">
      <w:pPr>
        <w:snapToGrid w:val="0"/>
        <w:rPr>
          <w:rFonts w:hint="eastAsia" w:ascii="微软雅黑" w:hAnsi="微软雅黑"/>
        </w:rPr>
      </w:pPr>
      <w:r>
        <w:drawing>
          <wp:inline distT="0" distB="0" distL="114300" distR="114300">
            <wp:extent cx="5026025" cy="1811655"/>
            <wp:effectExtent l="0" t="0" r="3175" b="762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CA2A">
      <w:pPr>
        <w:spacing w:line="360" w:lineRule="auto"/>
      </w:pPr>
      <w:r>
        <w:drawing>
          <wp:inline distT="0" distB="0" distL="114300" distR="114300">
            <wp:extent cx="4984115" cy="2438400"/>
            <wp:effectExtent l="0" t="0" r="6985" b="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9EBC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rFonts w:hint="default" w:eastAsia="宋体"/>
          <w:b w:val="0"/>
          <w:bCs/>
          <w:sz w:val="28"/>
          <w:szCs w:val="28"/>
          <w:lang w:val="en-US" w:eastAsia="zh-CN"/>
        </w:rPr>
      </w:pPr>
      <w:bookmarkStart w:id="8" w:name="_Toc3610"/>
      <w:r>
        <w:rPr>
          <w:rFonts w:hint="eastAsia"/>
          <w:b w:val="0"/>
          <w:bCs/>
          <w:sz w:val="28"/>
          <w:szCs w:val="28"/>
          <w:lang w:val="en-US" w:eastAsia="zh-CN"/>
        </w:rPr>
        <w:t>2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</w:rPr>
        <w:t>指导教师</w:t>
      </w:r>
      <w:bookmarkEnd w:id="5"/>
      <w:bookmarkEnd w:id="6"/>
      <w:r>
        <w:rPr>
          <w:rFonts w:hint="eastAsia"/>
          <w:b w:val="0"/>
          <w:bCs/>
          <w:sz w:val="28"/>
          <w:szCs w:val="28"/>
          <w:lang w:val="en-US" w:eastAsia="zh-CN"/>
        </w:rPr>
        <w:t>审核选题</w:t>
      </w:r>
      <w:bookmarkEnd w:id="8"/>
    </w:p>
    <w:p w14:paraId="4A25B7C2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点击左侧菜单进入“选题管理”—“</w:t>
      </w:r>
      <w:r>
        <w:rPr>
          <w:rFonts w:hint="eastAsia" w:ascii="微软雅黑" w:hAnsi="微软雅黑"/>
          <w:lang w:val="en-US" w:eastAsia="zh-CN"/>
        </w:rPr>
        <w:t>选</w:t>
      </w:r>
      <w:r>
        <w:rPr>
          <w:rFonts w:hint="eastAsia" w:ascii="微软雅黑" w:hAnsi="微软雅黑"/>
        </w:rPr>
        <w:t>题”—“</w:t>
      </w:r>
      <w:r>
        <w:rPr>
          <w:rFonts w:hint="eastAsia" w:ascii="微软雅黑" w:hAnsi="微软雅黑"/>
          <w:lang w:val="en-US" w:eastAsia="zh-CN"/>
        </w:rPr>
        <w:t>审核选题</w:t>
      </w:r>
      <w:r>
        <w:rPr>
          <w:rFonts w:hint="eastAsia" w:ascii="微软雅黑" w:hAnsi="微软雅黑"/>
        </w:rPr>
        <w:t>”页面。</w:t>
      </w:r>
    </w:p>
    <w:p w14:paraId="04B6639D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点击表头的“</w:t>
      </w:r>
      <w:r>
        <w:rPr>
          <w:rFonts w:hint="eastAsia" w:ascii="微软雅黑" w:hAnsi="微软雅黑"/>
          <w:lang w:val="en-US" w:eastAsia="zh-CN"/>
        </w:rPr>
        <w:t>审核</w:t>
      </w:r>
      <w:r>
        <w:rPr>
          <w:rFonts w:hint="eastAsia" w:ascii="微软雅黑" w:hAnsi="微软雅黑"/>
        </w:rPr>
        <w:t>”按钮，填写相关</w:t>
      </w:r>
      <w:r>
        <w:rPr>
          <w:rFonts w:hint="eastAsia" w:ascii="微软雅黑" w:hAnsi="微软雅黑"/>
          <w:lang w:val="en-US" w:eastAsia="zh-CN"/>
        </w:rPr>
        <w:t>审核</w:t>
      </w:r>
      <w:r>
        <w:rPr>
          <w:rFonts w:hint="eastAsia" w:ascii="微软雅黑" w:hAnsi="微软雅黑"/>
        </w:rPr>
        <w:t>信息，点击“</w:t>
      </w:r>
      <w:r>
        <w:rPr>
          <w:rFonts w:hint="eastAsia" w:ascii="微软雅黑" w:hAnsi="微软雅黑"/>
          <w:lang w:val="en-US" w:eastAsia="zh-CN"/>
        </w:rPr>
        <w:t>确定</w:t>
      </w:r>
      <w:r>
        <w:rPr>
          <w:rFonts w:hint="eastAsia"/>
          <w:lang w:val="en-US" w:eastAsia="zh-CN"/>
        </w:rPr>
        <w:t>，导师审核通过后还需要专业负责人进行审核</w:t>
      </w:r>
      <w:r>
        <w:rPr>
          <w:rFonts w:hint="eastAsia" w:ascii="微软雅黑" w:hAnsi="微软雅黑"/>
        </w:rPr>
        <w:t>”。</w:t>
      </w:r>
    </w:p>
    <w:p w14:paraId="5378F8BF">
      <w:pPr>
        <w:spacing w:line="360" w:lineRule="auto"/>
        <w:rPr>
          <w:rFonts w:ascii="微软雅黑" w:hAnsi="微软雅黑"/>
        </w:rPr>
      </w:pPr>
      <w:r>
        <w:drawing>
          <wp:inline distT="0" distB="0" distL="114300" distR="114300">
            <wp:extent cx="5174615" cy="1910080"/>
            <wp:effectExtent l="0" t="0" r="6985" b="444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99E6">
      <w:pPr>
        <w:spacing w:line="360" w:lineRule="auto"/>
      </w:pPr>
      <w:r>
        <w:drawing>
          <wp:inline distT="0" distB="0" distL="114300" distR="114300">
            <wp:extent cx="5008880" cy="2401570"/>
            <wp:effectExtent l="0" t="0" r="1270" b="825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56CA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rFonts w:hint="default" w:eastAsia="宋体"/>
          <w:b w:val="0"/>
          <w:bCs/>
          <w:sz w:val="28"/>
          <w:szCs w:val="28"/>
          <w:lang w:val="en-US" w:eastAsia="zh-CN"/>
        </w:rPr>
      </w:pPr>
      <w:bookmarkStart w:id="9" w:name="_Toc7638"/>
      <w:r>
        <w:rPr>
          <w:rFonts w:hint="eastAsia"/>
          <w:b w:val="0"/>
          <w:bCs/>
          <w:sz w:val="28"/>
          <w:szCs w:val="28"/>
          <w:lang w:val="en-US" w:eastAsia="zh-CN"/>
        </w:rPr>
        <w:t>3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</w:rPr>
        <w:t>指导教师</w:t>
      </w:r>
      <w:r>
        <w:rPr>
          <w:rFonts w:hint="eastAsia"/>
          <w:b w:val="0"/>
          <w:bCs/>
          <w:sz w:val="28"/>
          <w:szCs w:val="28"/>
          <w:lang w:val="en-US" w:eastAsia="zh-CN"/>
        </w:rPr>
        <w:t>审核课题信息变更</w:t>
      </w:r>
      <w:bookmarkEnd w:id="9"/>
      <w:r>
        <w:rPr>
          <w:rFonts w:hint="eastAsia"/>
          <w:b w:val="0"/>
          <w:bCs/>
          <w:sz w:val="28"/>
          <w:szCs w:val="28"/>
          <w:lang w:val="en-US" w:eastAsia="zh-CN"/>
        </w:rPr>
        <w:tab/>
      </w:r>
    </w:p>
    <w:p w14:paraId="48A5CC6C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点击左侧菜单进入“选题管理”—“</w:t>
      </w:r>
      <w:r>
        <w:rPr>
          <w:rFonts w:hint="eastAsia" w:ascii="微软雅黑" w:hAnsi="微软雅黑"/>
          <w:lang w:val="en-US" w:eastAsia="zh-CN"/>
        </w:rPr>
        <w:t>课题信息变更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审核课题信息变更</w:t>
      </w:r>
      <w:r>
        <w:rPr>
          <w:rFonts w:hint="eastAsia" w:ascii="微软雅黑" w:hAnsi="微软雅黑"/>
        </w:rPr>
        <w:t>”页面。</w:t>
      </w:r>
    </w:p>
    <w:p w14:paraId="0F887231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点击表头的“</w:t>
      </w:r>
      <w:r>
        <w:rPr>
          <w:rFonts w:hint="eastAsia" w:ascii="微软雅黑" w:hAnsi="微软雅黑"/>
          <w:lang w:val="en-US" w:eastAsia="zh-CN"/>
        </w:rPr>
        <w:t>审核</w:t>
      </w:r>
      <w:r>
        <w:rPr>
          <w:rFonts w:hint="eastAsia" w:ascii="微软雅黑" w:hAnsi="微软雅黑"/>
        </w:rPr>
        <w:t>”按钮，填写相关</w:t>
      </w:r>
      <w:r>
        <w:rPr>
          <w:rFonts w:hint="eastAsia" w:ascii="微软雅黑" w:hAnsi="微软雅黑"/>
          <w:lang w:val="en-US" w:eastAsia="zh-CN"/>
        </w:rPr>
        <w:t>审核</w:t>
      </w:r>
      <w:r>
        <w:rPr>
          <w:rFonts w:hint="eastAsia" w:ascii="微软雅黑" w:hAnsi="微软雅黑"/>
        </w:rPr>
        <w:t>信息，点击“</w:t>
      </w:r>
      <w:r>
        <w:rPr>
          <w:rFonts w:hint="eastAsia" w:ascii="微软雅黑" w:hAnsi="微软雅黑"/>
          <w:lang w:val="en-US" w:eastAsia="zh-CN"/>
        </w:rPr>
        <w:t>确定</w:t>
      </w:r>
      <w:r>
        <w:rPr>
          <w:rFonts w:hint="eastAsia" w:ascii="微软雅黑" w:hAnsi="微软雅黑"/>
        </w:rPr>
        <w:t>”。</w:t>
      </w:r>
    </w:p>
    <w:p w14:paraId="11EDFB34">
      <w:pPr>
        <w:spacing w:line="360" w:lineRule="auto"/>
      </w:pPr>
      <w:r>
        <w:drawing>
          <wp:inline distT="0" distB="0" distL="114300" distR="114300">
            <wp:extent cx="5078095" cy="1918970"/>
            <wp:effectExtent l="0" t="0" r="8255" b="508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C1FB">
      <w:pPr>
        <w:spacing w:line="360" w:lineRule="auto"/>
      </w:pPr>
      <w:r>
        <w:drawing>
          <wp:inline distT="0" distB="0" distL="114300" distR="114300">
            <wp:extent cx="5073650" cy="2432685"/>
            <wp:effectExtent l="0" t="0" r="3175" b="5715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27F6">
      <w:pPr>
        <w:pStyle w:val="3"/>
        <w:snapToGrid w:val="0"/>
        <w:spacing w:before="156" w:beforeLines="50" w:after="156" w:afterLines="50" w:line="240" w:lineRule="auto"/>
        <w:ind w:firstLine="420"/>
        <w:rPr>
          <w:rFonts w:ascii="微软雅黑" w:hAnsi="微软雅黑" w:cs="微软雅黑"/>
        </w:rPr>
      </w:pPr>
      <w:bookmarkStart w:id="10" w:name="_Toc27940"/>
      <w:r>
        <w:rPr>
          <w:rFonts w:hint="eastAsia" w:ascii="微软雅黑" w:hAnsi="微软雅黑" w:cs="微软雅黑"/>
        </w:rPr>
        <w:t>（二）过程管理</w:t>
      </w:r>
      <w:bookmarkEnd w:id="10"/>
    </w:p>
    <w:p w14:paraId="36E5D8C3">
      <w:pPr>
        <w:bidi w:val="0"/>
        <w:ind w:firstLine="420" w:firstLineChars="0"/>
        <w:rPr>
          <w:rFonts w:hint="eastAsia"/>
          <w:b w:val="0"/>
          <w:bCs/>
          <w:sz w:val="28"/>
          <w:szCs w:val="28"/>
        </w:rPr>
      </w:pPr>
      <w:r>
        <w:rPr>
          <w:rFonts w:hint="eastAsia"/>
          <w:lang w:val="en-US" w:eastAsia="zh-CN"/>
        </w:rPr>
        <w:t>选题完成后进入过程管理，过程管理中，开题报告、中期检查、评阅稿件、指导日志，由学生提交-导师审核；任务书、答辩委员会决议书、答辩记录由导师提交，具体提交哪些内容根据学院要求。</w:t>
      </w:r>
    </w:p>
    <w:p w14:paraId="4AEF956D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rFonts w:hint="default" w:eastAsia="宋体"/>
          <w:b w:val="0"/>
          <w:bCs/>
          <w:sz w:val="28"/>
          <w:szCs w:val="28"/>
          <w:lang w:val="en-US" w:eastAsia="zh-CN"/>
        </w:rPr>
      </w:pPr>
      <w:bookmarkStart w:id="11" w:name="_Toc11685"/>
      <w:r>
        <w:rPr>
          <w:rFonts w:hint="eastAsia"/>
          <w:b w:val="0"/>
          <w:bCs/>
          <w:sz w:val="28"/>
          <w:szCs w:val="28"/>
        </w:rPr>
        <w:t>1.</w:t>
      </w:r>
      <w:r>
        <w:rPr>
          <w:rFonts w:hint="eastAsia"/>
          <w:b w:val="0"/>
          <w:bCs/>
          <w:color w:val="FF0000"/>
          <w:sz w:val="28"/>
          <w:szCs w:val="28"/>
        </w:rPr>
        <w:t>指导教师</w:t>
      </w:r>
      <w:r>
        <w:rPr>
          <w:rFonts w:hint="eastAsia"/>
          <w:b w:val="0"/>
          <w:bCs/>
          <w:sz w:val="28"/>
          <w:szCs w:val="28"/>
          <w:lang w:val="en-US" w:eastAsia="zh-CN"/>
        </w:rPr>
        <w:t>审核业务（开题报告为例）</w:t>
      </w:r>
      <w:bookmarkEnd w:id="11"/>
    </w:p>
    <w:p w14:paraId="1EEBE934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点击左侧菜单进入“过程管理”—“</w:t>
      </w:r>
      <w:r>
        <w:rPr>
          <w:rFonts w:hint="eastAsia" w:ascii="微软雅黑" w:hAnsi="微软雅黑"/>
          <w:lang w:val="en-US" w:eastAsia="zh-CN"/>
        </w:rPr>
        <w:t>开题报告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审核开题报告</w:t>
      </w:r>
      <w:r>
        <w:rPr>
          <w:rFonts w:hint="eastAsia" w:ascii="微软雅黑" w:hAnsi="微软雅黑"/>
        </w:rPr>
        <w:t>”页面。</w:t>
      </w:r>
    </w:p>
    <w:p w14:paraId="2044203A">
      <w:pPr>
        <w:snapToGrid w:val="0"/>
        <w:ind w:firstLine="480" w:firstLineChars="200"/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</w:rPr>
        <w:t>点击“</w:t>
      </w:r>
      <w:r>
        <w:rPr>
          <w:rFonts w:hint="eastAsia" w:ascii="微软雅黑" w:hAnsi="微软雅黑"/>
          <w:lang w:val="en-US" w:eastAsia="zh-CN"/>
        </w:rPr>
        <w:t>审核</w:t>
      </w:r>
      <w:r>
        <w:rPr>
          <w:rFonts w:hint="eastAsia" w:ascii="微软雅黑" w:hAnsi="微软雅黑"/>
        </w:rPr>
        <w:t>”按钮，在弹出页面中，</w:t>
      </w:r>
      <w:r>
        <w:rPr>
          <w:rFonts w:hint="eastAsia" w:ascii="微软雅黑" w:hAnsi="微软雅黑"/>
          <w:lang w:val="en-US" w:eastAsia="zh-CN"/>
        </w:rPr>
        <w:t>查看学生提交内容</w:t>
      </w:r>
      <w:r>
        <w:rPr>
          <w:rFonts w:hint="eastAsia" w:ascii="微软雅黑" w:hAnsi="微软雅黑"/>
        </w:rPr>
        <w:t>，</w:t>
      </w:r>
      <w:r>
        <w:rPr>
          <w:rFonts w:hint="eastAsia" w:ascii="微软雅黑" w:hAnsi="微软雅黑"/>
          <w:lang w:val="en-US" w:eastAsia="zh-CN"/>
        </w:rPr>
        <w:t>然后填写审核意见和是否通过，</w:t>
      </w:r>
      <w:r>
        <w:rPr>
          <w:rFonts w:hint="eastAsia" w:ascii="微软雅黑" w:hAnsi="微软雅黑"/>
        </w:rPr>
        <w:t>点击“确认”</w:t>
      </w:r>
      <w:r>
        <w:rPr>
          <w:rFonts w:hint="eastAsia" w:ascii="微软雅黑" w:hAnsi="微软雅黑"/>
          <w:lang w:val="en-US" w:eastAsia="zh-CN"/>
        </w:rPr>
        <w:t>提交即可</w:t>
      </w:r>
      <w:r>
        <w:rPr>
          <w:rFonts w:hint="eastAsia" w:ascii="微软雅黑" w:hAnsi="微软雅黑"/>
        </w:rPr>
        <w:t>。</w:t>
      </w:r>
    </w:p>
    <w:p w14:paraId="32AF5FE9">
      <w:pPr>
        <w:bidi w:val="0"/>
      </w:pPr>
      <w:r>
        <w:drawing>
          <wp:inline distT="0" distB="0" distL="114300" distR="114300">
            <wp:extent cx="5259070" cy="1592580"/>
            <wp:effectExtent l="0" t="0" r="1778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9FE7">
      <w:r>
        <w:drawing>
          <wp:inline distT="0" distB="0" distL="114300" distR="114300">
            <wp:extent cx="5257800" cy="2156460"/>
            <wp:effectExtent l="0" t="0" r="0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9C0D"/>
    <w:p w14:paraId="2F401366">
      <w:pPr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注：需要指导教师下达任务书之后，学生才可提交开题报告、中期检查、评阅稿件</w:t>
      </w:r>
    </w:p>
    <w:p w14:paraId="3AEF6F0B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rFonts w:hint="default" w:eastAsia="宋体"/>
          <w:b w:val="0"/>
          <w:bCs/>
          <w:sz w:val="28"/>
          <w:szCs w:val="28"/>
          <w:lang w:val="en-US" w:eastAsia="zh-CN"/>
        </w:rPr>
      </w:pPr>
      <w:bookmarkStart w:id="12" w:name="_Toc8979"/>
      <w:r>
        <w:rPr>
          <w:rFonts w:hint="eastAsia"/>
          <w:b w:val="0"/>
          <w:bCs/>
          <w:sz w:val="28"/>
          <w:szCs w:val="28"/>
          <w:lang w:val="en-US" w:eastAsia="zh-CN"/>
        </w:rPr>
        <w:t>2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</w:rPr>
        <w:t>指导教师</w:t>
      </w:r>
      <w:r>
        <w:rPr>
          <w:rFonts w:hint="eastAsia"/>
          <w:b w:val="0"/>
          <w:bCs/>
          <w:sz w:val="28"/>
          <w:szCs w:val="28"/>
          <w:lang w:val="en-US" w:eastAsia="zh-CN"/>
        </w:rPr>
        <w:t>提交业务（任务书为例）</w:t>
      </w:r>
      <w:bookmarkEnd w:id="12"/>
    </w:p>
    <w:p w14:paraId="3AFD38EF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点击左侧菜单进入“过程管理”—“</w:t>
      </w:r>
      <w:r>
        <w:rPr>
          <w:rFonts w:hint="eastAsia" w:ascii="微软雅黑" w:hAnsi="微软雅黑"/>
          <w:lang w:val="en-US" w:eastAsia="zh-CN"/>
        </w:rPr>
        <w:t>任务书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编辑任务书</w:t>
      </w:r>
      <w:r>
        <w:rPr>
          <w:rFonts w:hint="eastAsia" w:ascii="微软雅黑" w:hAnsi="微软雅黑"/>
        </w:rPr>
        <w:t>”页面。</w:t>
      </w:r>
    </w:p>
    <w:p w14:paraId="77BAA66C">
      <w:pPr>
        <w:snapToGrid w:val="0"/>
        <w:ind w:firstLine="480" w:firstLineChars="200"/>
        <w:rPr>
          <w:rFonts w:hint="eastAsia" w:ascii="微软雅黑" w:hAnsi="微软雅黑" w:eastAsia="宋体"/>
          <w:lang w:val="en-US" w:eastAsia="zh-CN"/>
        </w:rPr>
      </w:pPr>
      <w:r>
        <w:rPr>
          <w:rFonts w:hint="eastAsia" w:ascii="微软雅黑" w:hAnsi="微软雅黑"/>
        </w:rPr>
        <w:t>点击“</w:t>
      </w:r>
      <w:r>
        <w:rPr>
          <w:rFonts w:hint="eastAsia" w:ascii="微软雅黑" w:hAnsi="微软雅黑"/>
          <w:lang w:val="en-US" w:eastAsia="zh-CN"/>
        </w:rPr>
        <w:t>编辑</w:t>
      </w:r>
      <w:r>
        <w:rPr>
          <w:rFonts w:hint="eastAsia" w:ascii="微软雅黑" w:hAnsi="微软雅黑"/>
        </w:rPr>
        <w:t>”按钮，在弹出页面中，</w:t>
      </w:r>
      <w:r>
        <w:rPr>
          <w:rFonts w:hint="eastAsia" w:ascii="微软雅黑" w:hAnsi="微软雅黑"/>
          <w:lang w:val="en-US" w:eastAsia="zh-CN"/>
        </w:rPr>
        <w:t>填写相关信息</w:t>
      </w:r>
      <w:r>
        <w:rPr>
          <w:rFonts w:hint="eastAsia" w:ascii="微软雅黑" w:hAnsi="微软雅黑"/>
        </w:rPr>
        <w:t>，点击“确认”完成。</w:t>
      </w:r>
    </w:p>
    <w:p w14:paraId="0C449478">
      <w:r>
        <w:drawing>
          <wp:inline distT="0" distB="0" distL="114300" distR="114300">
            <wp:extent cx="5267325" cy="1559560"/>
            <wp:effectExtent l="0" t="0" r="952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36165"/>
            <wp:effectExtent l="0" t="0" r="3175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6E8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firstLine="420"/>
        <w:textAlignment w:val="auto"/>
        <w:rPr>
          <w:rFonts w:hint="eastAsia"/>
        </w:rPr>
      </w:pPr>
      <w:bookmarkStart w:id="13" w:name="_Toc5993"/>
      <w:r>
        <w:rPr>
          <w:rFonts w:hint="eastAsia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评分</w:t>
      </w:r>
      <w:r>
        <w:rPr>
          <w:rFonts w:hint="eastAsia"/>
        </w:rPr>
        <w:t>管理</w:t>
      </w:r>
      <w:bookmarkEnd w:id="13"/>
    </w:p>
    <w:p w14:paraId="05FCF378">
      <w:pPr>
        <w:pStyle w:val="4"/>
        <w:numPr>
          <w:ilvl w:val="0"/>
          <w:numId w:val="0"/>
        </w:numPr>
        <w:snapToGrid w:val="0"/>
        <w:spacing w:before="156" w:beforeLines="50" w:after="156" w:afterLines="50" w:line="240" w:lineRule="auto"/>
        <w:ind w:firstLine="420" w:firstLineChars="0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4148"/>
      <w:bookmarkStart w:id="15" w:name="_Toc9710"/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1.分配评阅教师</w:t>
      </w:r>
      <w:bookmarkEnd w:id="14"/>
      <w:bookmarkEnd w:id="15"/>
    </w:p>
    <w:p w14:paraId="2C9954FB">
      <w:pPr>
        <w:ind w:firstLine="420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</w:t>
      </w:r>
      <w:r>
        <w:rPr>
          <w:rFonts w:hint="eastAsia" w:ascii="微软雅黑" w:hAnsi="微软雅黑"/>
          <w:lang w:val="en-US" w:eastAsia="zh-CN"/>
        </w:rPr>
        <w:t>评分</w:t>
      </w:r>
      <w:r>
        <w:rPr>
          <w:rFonts w:hint="eastAsia" w:ascii="微软雅黑" w:hAnsi="微软雅黑"/>
        </w:rPr>
        <w:t>管理”—“</w:t>
      </w:r>
      <w:r>
        <w:rPr>
          <w:rFonts w:hint="eastAsia" w:ascii="微软雅黑" w:hAnsi="微软雅黑"/>
          <w:lang w:val="en-US" w:eastAsia="zh-CN"/>
        </w:rPr>
        <w:t>分配评阅教师</w:t>
      </w:r>
      <w:r>
        <w:rPr>
          <w:rFonts w:hint="eastAsia" w:ascii="微软雅黑" w:hAnsi="微软雅黑"/>
        </w:rPr>
        <w:t>”</w:t>
      </w:r>
    </w:p>
    <w:p w14:paraId="26131C8C">
      <w:pPr>
        <w:ind w:firstLine="420" w:firstLineChars="0"/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点击“分配”进入分配评阅教师页面，点击“选择”即可；</w:t>
      </w:r>
    </w:p>
    <w:p w14:paraId="265D4728">
      <w:pPr>
        <w:ind w:firstLine="420" w:firstLineChars="0"/>
      </w:pPr>
      <w:r>
        <w:rPr>
          <w:rFonts w:hint="eastAsia" w:ascii="微软雅黑" w:hAnsi="微软雅黑"/>
          <w:lang w:val="en-US" w:eastAsia="zh-CN"/>
        </w:rPr>
        <w:t>备注：也可以批量导入评阅教师，下载导入模板，“填写-保存-上传”即可；</w:t>
      </w:r>
      <w:r>
        <w:drawing>
          <wp:inline distT="0" distB="0" distL="114300" distR="114300">
            <wp:extent cx="5039360" cy="1757680"/>
            <wp:effectExtent l="0" t="0" r="8890" b="4445"/>
            <wp:docPr id="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B069">
      <w:r>
        <w:drawing>
          <wp:inline distT="0" distB="0" distL="114300" distR="114300">
            <wp:extent cx="5272405" cy="2130425"/>
            <wp:effectExtent l="0" t="0" r="4445" b="3175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9549">
      <w:r>
        <w:drawing>
          <wp:inline distT="0" distB="0" distL="114300" distR="114300">
            <wp:extent cx="5183505" cy="1960245"/>
            <wp:effectExtent l="0" t="0" r="7620" b="1905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56E5">
      <w:pPr>
        <w:pStyle w:val="4"/>
        <w:snapToGrid w:val="0"/>
        <w:spacing w:before="156" w:beforeLines="50" w:after="156" w:afterLines="50" w:line="240" w:lineRule="auto"/>
        <w:ind w:firstLine="420"/>
        <w:rPr>
          <w:rFonts w:hint="default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6" w:name="_Toc26973"/>
      <w:r>
        <w:rPr>
          <w:rFonts w:hint="eastAsia"/>
          <w:b w:val="0"/>
          <w:bCs/>
          <w:sz w:val="28"/>
          <w:szCs w:val="28"/>
          <w:lang w:val="en-US" w:eastAsia="zh-CN"/>
        </w:rPr>
        <w:t>2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  <w:lang w:val="en-US" w:eastAsia="zh-CN"/>
        </w:rPr>
        <w:t>指导教师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评分</w:t>
      </w:r>
      <w:bookmarkEnd w:id="16"/>
    </w:p>
    <w:p w14:paraId="13D5FB67">
      <w:pPr>
        <w:snapToGrid w:val="0"/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点击左侧菜单进入“</w:t>
      </w:r>
      <w:r>
        <w:rPr>
          <w:rFonts w:hint="eastAsia" w:ascii="微软雅黑" w:hAnsi="微软雅黑"/>
          <w:lang w:val="en-US" w:eastAsia="zh-CN"/>
        </w:rPr>
        <w:t>评分</w:t>
      </w:r>
      <w:r>
        <w:rPr>
          <w:rFonts w:hint="eastAsia" w:ascii="微软雅黑" w:hAnsi="微软雅黑"/>
        </w:rPr>
        <w:t>管理”—“</w:t>
      </w:r>
      <w:r>
        <w:rPr>
          <w:rFonts w:hint="eastAsia" w:ascii="微软雅黑" w:hAnsi="微软雅黑"/>
          <w:lang w:val="en-US" w:eastAsia="zh-CN"/>
        </w:rPr>
        <w:t>指导教师评分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评分</w:t>
      </w:r>
      <w:r>
        <w:rPr>
          <w:rFonts w:hint="eastAsia" w:ascii="微软雅黑" w:hAnsi="微软雅黑"/>
        </w:rPr>
        <w:t>”页面。</w:t>
      </w:r>
    </w:p>
    <w:p w14:paraId="5FFF1ACD">
      <w:pPr>
        <w:snapToGrid w:val="0"/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点击“</w:t>
      </w:r>
      <w:r>
        <w:rPr>
          <w:rFonts w:hint="eastAsia" w:ascii="微软雅黑" w:hAnsi="微软雅黑"/>
          <w:lang w:val="en-US" w:eastAsia="zh-CN"/>
        </w:rPr>
        <w:t>评分</w:t>
      </w:r>
      <w:r>
        <w:rPr>
          <w:rFonts w:hint="eastAsia" w:ascii="微软雅黑" w:hAnsi="微软雅黑"/>
        </w:rPr>
        <w:t>”按钮，在弹出页面中，</w:t>
      </w:r>
      <w:r>
        <w:rPr>
          <w:rFonts w:hint="eastAsia" w:ascii="微软雅黑" w:hAnsi="微软雅黑"/>
          <w:lang w:val="en-US" w:eastAsia="zh-CN"/>
        </w:rPr>
        <w:t>填写总分成绩和指导教师评语，点击“确定”</w:t>
      </w:r>
      <w:r>
        <w:rPr>
          <w:rFonts w:hint="eastAsia" w:ascii="微软雅黑" w:hAnsi="微软雅黑"/>
        </w:rPr>
        <w:t>。</w:t>
      </w:r>
    </w:p>
    <w:p w14:paraId="3BD584A7">
      <w:r>
        <w:drawing>
          <wp:inline distT="0" distB="0" distL="114300" distR="114300">
            <wp:extent cx="5191125" cy="2239010"/>
            <wp:effectExtent l="0" t="0" r="0" b="8890"/>
            <wp:docPr id="7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BB51">
      <w:r>
        <w:drawing>
          <wp:inline distT="0" distB="0" distL="114300" distR="114300">
            <wp:extent cx="5125720" cy="2646680"/>
            <wp:effectExtent l="0" t="0" r="8255" b="127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4E66">
      <w:pPr>
        <w:pStyle w:val="3"/>
        <w:spacing w:line="240" w:lineRule="auto"/>
        <w:ind w:firstLine="420"/>
        <w:rPr>
          <w:rFonts w:hint="eastAsia"/>
          <w:lang w:val="en-US" w:eastAsia="zh-CN"/>
        </w:rPr>
      </w:pPr>
      <w:bookmarkStart w:id="17" w:name="_Toc1140"/>
      <w:r>
        <w:rPr>
          <w:rFonts w:hint="eastAsia"/>
        </w:rPr>
        <w:t>（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论文检测</w:t>
      </w:r>
      <w:bookmarkEnd w:id="17"/>
    </w:p>
    <w:p w14:paraId="64F077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default"/>
          <w:lang w:val="en-US"/>
        </w:rPr>
      </w:pPr>
      <w:r>
        <w:rPr>
          <w:rFonts w:hint="eastAsia"/>
          <w:color w:val="FF0000"/>
          <w:lang w:val="en-US" w:eastAsia="zh-CN"/>
        </w:rPr>
        <w:t>论文检测分为第一次检测和第二次检测。第一次检测可进行论文检测和格式检测，由学生自行提交；第二次检测可进行论文检测和AIGC检测，AIGC检测由导师提交检测。</w:t>
      </w:r>
    </w:p>
    <w:p w14:paraId="0BF1DB60">
      <w:pPr>
        <w:pStyle w:val="4"/>
        <w:snapToGrid w:val="0"/>
        <w:spacing w:before="156" w:beforeLines="50" w:after="156" w:afterLines="50" w:line="240" w:lineRule="auto"/>
        <w:ind w:firstLine="420" w:firstLineChars="0"/>
        <w:rPr>
          <w:rFonts w:hint="eastAsia"/>
          <w:b w:val="0"/>
          <w:bCs/>
          <w:sz w:val="28"/>
          <w:szCs w:val="28"/>
          <w:lang w:val="en-US" w:eastAsia="zh-CN"/>
        </w:rPr>
      </w:pPr>
      <w:bookmarkStart w:id="18" w:name="_Toc22940"/>
      <w:bookmarkStart w:id="19" w:name="_Toc11245"/>
      <w:r>
        <w:rPr>
          <w:rFonts w:hint="eastAsia"/>
          <w:b w:val="0"/>
          <w:bCs/>
          <w:sz w:val="28"/>
          <w:szCs w:val="28"/>
          <w:lang w:val="en-US" w:eastAsia="zh-CN"/>
        </w:rPr>
        <w:t>1.检测环节</w:t>
      </w:r>
      <w:bookmarkEnd w:id="18"/>
      <w:bookmarkEnd w:id="19"/>
    </w:p>
    <w:p w14:paraId="53D322A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提交检测步骤如下，</w:t>
      </w:r>
      <w:r>
        <w:rPr>
          <w:rFonts w:hint="eastAsia"/>
          <w:color w:val="FF0000"/>
          <w:lang w:val="en-US" w:eastAsia="zh-CN"/>
        </w:rPr>
        <w:t>系统内检测次数有限</w:t>
      </w:r>
      <w:r>
        <w:rPr>
          <w:rFonts w:hint="eastAsia"/>
          <w:lang w:val="en-US" w:eastAsia="zh-CN"/>
        </w:rPr>
        <w:t>，请合理使用：</w:t>
      </w:r>
    </w:p>
    <w:p w14:paraId="5227E953">
      <w:pPr>
        <w:rPr>
          <w:rFonts w:hint="eastAsia"/>
        </w:rPr>
      </w:pPr>
      <w:r>
        <w:drawing>
          <wp:inline distT="0" distB="0" distL="114300" distR="114300">
            <wp:extent cx="5265420" cy="1567815"/>
            <wp:effectExtent l="0" t="0" r="11430" b="133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CEE9B">
      <w:pPr>
        <w:pStyle w:val="4"/>
        <w:snapToGrid w:val="0"/>
        <w:spacing w:before="156" w:beforeLines="50" w:after="156" w:afterLines="50" w:line="240" w:lineRule="auto"/>
        <w:ind w:firstLine="420"/>
        <w:rPr>
          <w:rFonts w:hint="default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17910"/>
      <w:r>
        <w:rPr>
          <w:rFonts w:hint="eastAsia"/>
          <w:b w:val="0"/>
          <w:bCs/>
          <w:sz w:val="28"/>
          <w:szCs w:val="28"/>
          <w:lang w:val="en-US" w:eastAsia="zh-CN"/>
        </w:rPr>
        <w:t>2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  <w:lang w:val="en-US" w:eastAsia="zh-CN"/>
        </w:rPr>
        <w:t>指导教师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审核</w:t>
      </w:r>
      <w:r>
        <w:rPr>
          <w:rFonts w:hint="eastAsia"/>
          <w:b w:val="0"/>
          <w:bCs/>
          <w:sz w:val="28"/>
          <w:szCs w:val="28"/>
          <w:lang w:val="en-US" w:eastAsia="zh-CN"/>
        </w:rPr>
        <w:t>教育部抽检</w:t>
      </w:r>
      <w:bookmarkStart w:id="21" w:name="_GoBack"/>
      <w:bookmarkEnd w:id="21"/>
      <w:r>
        <w:rPr>
          <w:rFonts w:hint="eastAsia"/>
          <w:b w:val="0"/>
          <w:bCs/>
          <w:sz w:val="28"/>
          <w:szCs w:val="28"/>
          <w:lang w:val="en-US" w:eastAsia="zh-CN"/>
        </w:rPr>
        <w:t>材料</w:t>
      </w:r>
      <w:bookmarkEnd w:id="20"/>
    </w:p>
    <w:p w14:paraId="7FDA6727">
      <w:pPr>
        <w:snapToGrid w:val="0"/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点击左侧菜单进入“</w:t>
      </w:r>
      <w:r>
        <w:rPr>
          <w:rFonts w:hint="eastAsia" w:ascii="微软雅黑" w:hAnsi="微软雅黑"/>
          <w:lang w:val="en-US" w:eastAsia="zh-CN"/>
        </w:rPr>
        <w:t>论文检测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教育部抽检材料上传</w:t>
      </w:r>
      <w:r>
        <w:rPr>
          <w:rFonts w:hint="eastAsia" w:ascii="微软雅黑" w:hAnsi="微软雅黑"/>
        </w:rPr>
        <w:t>”—“审核</w:t>
      </w:r>
      <w:r>
        <w:rPr>
          <w:rFonts w:hint="eastAsia" w:ascii="微软雅黑" w:hAnsi="微软雅黑"/>
          <w:lang w:val="en-US" w:eastAsia="zh-CN"/>
        </w:rPr>
        <w:t>教育部抽检材料</w:t>
      </w:r>
      <w:r>
        <w:rPr>
          <w:rFonts w:hint="eastAsia" w:ascii="微软雅黑" w:hAnsi="微软雅黑"/>
        </w:rPr>
        <w:t>”页面。</w:t>
      </w:r>
    </w:p>
    <w:p w14:paraId="7494F9EF">
      <w:pPr>
        <w:snapToGrid w:val="0"/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点击“审核”按钮，在弹出页面中，</w:t>
      </w:r>
      <w:r>
        <w:rPr>
          <w:rFonts w:hint="eastAsia" w:ascii="微软雅黑" w:hAnsi="微软雅黑"/>
          <w:lang w:val="en-US" w:eastAsia="zh-CN"/>
        </w:rPr>
        <w:t>可以查看学生填写的抽检字段信息和对稿件进行下载、预览或进行批注，审核后</w:t>
      </w:r>
      <w:r>
        <w:rPr>
          <w:rFonts w:hint="eastAsia" w:ascii="微软雅黑" w:hAnsi="微软雅黑"/>
        </w:rPr>
        <w:t>进行审核状态的选择和审核意见的填写后，点击“确认”审核完成。</w:t>
      </w:r>
    </w:p>
    <w:p w14:paraId="5F44CE6E">
      <w:r>
        <w:drawing>
          <wp:inline distT="0" distB="0" distL="114300" distR="114300">
            <wp:extent cx="5264785" cy="1565910"/>
            <wp:effectExtent l="0" t="0" r="12065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5067">
      <w:r>
        <w:drawing>
          <wp:inline distT="0" distB="0" distL="114300" distR="114300">
            <wp:extent cx="5270500" cy="2223770"/>
            <wp:effectExtent l="0" t="0" r="6350" b="50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6A533">
      <w:pPr>
        <w:ind w:firstLine="420" w:firstLineChars="0"/>
      </w:pPr>
      <w:r>
        <w:rPr>
          <w:rFonts w:hint="eastAsia"/>
          <w:color w:val="FF0000"/>
          <w:lang w:val="en-US" w:eastAsia="zh-CN"/>
        </w:rPr>
        <w:t>注：后续导出抽检字段会根据此处学生填写的内容进行导出，如有不正确内容，可驳回至学生重新填写。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305329"/>
    <w:rsid w:val="000B42A0"/>
    <w:rsid w:val="00186B04"/>
    <w:rsid w:val="001B3593"/>
    <w:rsid w:val="002546FF"/>
    <w:rsid w:val="002B03B1"/>
    <w:rsid w:val="00305329"/>
    <w:rsid w:val="00326DB2"/>
    <w:rsid w:val="003A6A5B"/>
    <w:rsid w:val="003F4517"/>
    <w:rsid w:val="00407CF6"/>
    <w:rsid w:val="004A12A9"/>
    <w:rsid w:val="0053441E"/>
    <w:rsid w:val="005653FD"/>
    <w:rsid w:val="00567AFB"/>
    <w:rsid w:val="00717F28"/>
    <w:rsid w:val="00731FE5"/>
    <w:rsid w:val="007B1506"/>
    <w:rsid w:val="008457E7"/>
    <w:rsid w:val="008722B4"/>
    <w:rsid w:val="00982F72"/>
    <w:rsid w:val="009E7DAF"/>
    <w:rsid w:val="00A26CF8"/>
    <w:rsid w:val="00A305A4"/>
    <w:rsid w:val="00A371AE"/>
    <w:rsid w:val="00AD1830"/>
    <w:rsid w:val="00AE7806"/>
    <w:rsid w:val="00B07CB1"/>
    <w:rsid w:val="00B26676"/>
    <w:rsid w:val="00CA33B6"/>
    <w:rsid w:val="00FC0068"/>
    <w:rsid w:val="012E56C0"/>
    <w:rsid w:val="013B668C"/>
    <w:rsid w:val="01AF421C"/>
    <w:rsid w:val="0324150A"/>
    <w:rsid w:val="036D28B4"/>
    <w:rsid w:val="03B56524"/>
    <w:rsid w:val="040D1A80"/>
    <w:rsid w:val="045C69BC"/>
    <w:rsid w:val="0466417F"/>
    <w:rsid w:val="047F2DDF"/>
    <w:rsid w:val="050C042B"/>
    <w:rsid w:val="05946374"/>
    <w:rsid w:val="0649781E"/>
    <w:rsid w:val="06A53C01"/>
    <w:rsid w:val="07500F03"/>
    <w:rsid w:val="07824EA9"/>
    <w:rsid w:val="08A84455"/>
    <w:rsid w:val="08E065F0"/>
    <w:rsid w:val="09410F65"/>
    <w:rsid w:val="09E76B80"/>
    <w:rsid w:val="0A386FBF"/>
    <w:rsid w:val="0A7A7E14"/>
    <w:rsid w:val="0B13606B"/>
    <w:rsid w:val="0BEB731D"/>
    <w:rsid w:val="0CC77DB8"/>
    <w:rsid w:val="0CE829B2"/>
    <w:rsid w:val="0DE6154B"/>
    <w:rsid w:val="0E376023"/>
    <w:rsid w:val="10D1116B"/>
    <w:rsid w:val="10DE353E"/>
    <w:rsid w:val="11A7606E"/>
    <w:rsid w:val="12973F50"/>
    <w:rsid w:val="12AD6CA4"/>
    <w:rsid w:val="13F10A4E"/>
    <w:rsid w:val="148C03DE"/>
    <w:rsid w:val="153A58AE"/>
    <w:rsid w:val="1555552C"/>
    <w:rsid w:val="15853B3D"/>
    <w:rsid w:val="165F15EB"/>
    <w:rsid w:val="168746A1"/>
    <w:rsid w:val="18B27E87"/>
    <w:rsid w:val="190B0770"/>
    <w:rsid w:val="19986F06"/>
    <w:rsid w:val="1A9F3D3E"/>
    <w:rsid w:val="1AF94288"/>
    <w:rsid w:val="1AFB7C4D"/>
    <w:rsid w:val="1B8D4099"/>
    <w:rsid w:val="1BBA3A2F"/>
    <w:rsid w:val="1BE9633E"/>
    <w:rsid w:val="1C722123"/>
    <w:rsid w:val="1C8B1A0F"/>
    <w:rsid w:val="1CFC3E72"/>
    <w:rsid w:val="1D87616A"/>
    <w:rsid w:val="1E247949"/>
    <w:rsid w:val="1EDD3D7A"/>
    <w:rsid w:val="1F0D2666"/>
    <w:rsid w:val="20656DC8"/>
    <w:rsid w:val="21312411"/>
    <w:rsid w:val="215A451A"/>
    <w:rsid w:val="22637127"/>
    <w:rsid w:val="22E46F16"/>
    <w:rsid w:val="235F050E"/>
    <w:rsid w:val="236E24FF"/>
    <w:rsid w:val="23D41E7E"/>
    <w:rsid w:val="24084702"/>
    <w:rsid w:val="249D245C"/>
    <w:rsid w:val="250E5063"/>
    <w:rsid w:val="26740622"/>
    <w:rsid w:val="26B722D5"/>
    <w:rsid w:val="278E6583"/>
    <w:rsid w:val="27EF3D12"/>
    <w:rsid w:val="28FD6063"/>
    <w:rsid w:val="29AE7AF9"/>
    <w:rsid w:val="2B240440"/>
    <w:rsid w:val="2B6366C1"/>
    <w:rsid w:val="2C88403F"/>
    <w:rsid w:val="2D31002F"/>
    <w:rsid w:val="2D532382"/>
    <w:rsid w:val="2DD005AA"/>
    <w:rsid w:val="2E4651A4"/>
    <w:rsid w:val="2E57383F"/>
    <w:rsid w:val="2EC0476E"/>
    <w:rsid w:val="2F0800F9"/>
    <w:rsid w:val="2FA73E13"/>
    <w:rsid w:val="30BE425A"/>
    <w:rsid w:val="31F46C76"/>
    <w:rsid w:val="34CC6463"/>
    <w:rsid w:val="37967A1C"/>
    <w:rsid w:val="37DD42FC"/>
    <w:rsid w:val="38B414EA"/>
    <w:rsid w:val="39E1034B"/>
    <w:rsid w:val="3B200C61"/>
    <w:rsid w:val="3D085333"/>
    <w:rsid w:val="3D6D107C"/>
    <w:rsid w:val="3DE61259"/>
    <w:rsid w:val="3DF25CAC"/>
    <w:rsid w:val="3FFE478F"/>
    <w:rsid w:val="417E35F5"/>
    <w:rsid w:val="44051B73"/>
    <w:rsid w:val="440C3A50"/>
    <w:rsid w:val="447B61F5"/>
    <w:rsid w:val="4702630E"/>
    <w:rsid w:val="471A79BE"/>
    <w:rsid w:val="4899776B"/>
    <w:rsid w:val="491846CB"/>
    <w:rsid w:val="49473918"/>
    <w:rsid w:val="496E7CC7"/>
    <w:rsid w:val="4993101D"/>
    <w:rsid w:val="49A91F2C"/>
    <w:rsid w:val="49F16B62"/>
    <w:rsid w:val="4A1E1CDA"/>
    <w:rsid w:val="4A2E325B"/>
    <w:rsid w:val="4BEB3CAC"/>
    <w:rsid w:val="4C733834"/>
    <w:rsid w:val="4D150237"/>
    <w:rsid w:val="4D215D38"/>
    <w:rsid w:val="4D240145"/>
    <w:rsid w:val="4D811E76"/>
    <w:rsid w:val="4EC106FD"/>
    <w:rsid w:val="4F4164C3"/>
    <w:rsid w:val="4F5D4D43"/>
    <w:rsid w:val="4FE8185E"/>
    <w:rsid w:val="50554D66"/>
    <w:rsid w:val="50981EA1"/>
    <w:rsid w:val="51A44275"/>
    <w:rsid w:val="51BB025B"/>
    <w:rsid w:val="52072519"/>
    <w:rsid w:val="527E490B"/>
    <w:rsid w:val="52937A10"/>
    <w:rsid w:val="52F85E4C"/>
    <w:rsid w:val="55680989"/>
    <w:rsid w:val="55DD04E3"/>
    <w:rsid w:val="56523D71"/>
    <w:rsid w:val="568411BB"/>
    <w:rsid w:val="570A0BA5"/>
    <w:rsid w:val="57480FB9"/>
    <w:rsid w:val="57932E20"/>
    <w:rsid w:val="57D76345"/>
    <w:rsid w:val="582D4EF8"/>
    <w:rsid w:val="592D37E6"/>
    <w:rsid w:val="596450F8"/>
    <w:rsid w:val="59C669A8"/>
    <w:rsid w:val="59C93F3D"/>
    <w:rsid w:val="59E01EDA"/>
    <w:rsid w:val="5A6B7B22"/>
    <w:rsid w:val="5AB70F4B"/>
    <w:rsid w:val="5BAF2B7F"/>
    <w:rsid w:val="5CCA17AB"/>
    <w:rsid w:val="5CCD06DF"/>
    <w:rsid w:val="5E206EBC"/>
    <w:rsid w:val="600222A1"/>
    <w:rsid w:val="60451476"/>
    <w:rsid w:val="61DE1789"/>
    <w:rsid w:val="620B358F"/>
    <w:rsid w:val="64013AB8"/>
    <w:rsid w:val="642A16BC"/>
    <w:rsid w:val="64454D98"/>
    <w:rsid w:val="6465242B"/>
    <w:rsid w:val="64C359B3"/>
    <w:rsid w:val="64DC3A26"/>
    <w:rsid w:val="65074BD4"/>
    <w:rsid w:val="653368B4"/>
    <w:rsid w:val="656B1EE0"/>
    <w:rsid w:val="656D4458"/>
    <w:rsid w:val="65895139"/>
    <w:rsid w:val="65BC6B1F"/>
    <w:rsid w:val="662B0AA3"/>
    <w:rsid w:val="665516BD"/>
    <w:rsid w:val="67440EF2"/>
    <w:rsid w:val="686552AA"/>
    <w:rsid w:val="68997610"/>
    <w:rsid w:val="694A110D"/>
    <w:rsid w:val="695C061A"/>
    <w:rsid w:val="6A5D1F52"/>
    <w:rsid w:val="6B2807B2"/>
    <w:rsid w:val="6B68554D"/>
    <w:rsid w:val="6C593408"/>
    <w:rsid w:val="6CE301ED"/>
    <w:rsid w:val="6D3164DB"/>
    <w:rsid w:val="6F0D5181"/>
    <w:rsid w:val="7052238D"/>
    <w:rsid w:val="706606D9"/>
    <w:rsid w:val="70F748FF"/>
    <w:rsid w:val="71061683"/>
    <w:rsid w:val="71DD14ED"/>
    <w:rsid w:val="71E31424"/>
    <w:rsid w:val="72921CB6"/>
    <w:rsid w:val="749F355B"/>
    <w:rsid w:val="76126652"/>
    <w:rsid w:val="765B39FF"/>
    <w:rsid w:val="76CA63C9"/>
    <w:rsid w:val="784A07A2"/>
    <w:rsid w:val="793816B2"/>
    <w:rsid w:val="79C52B54"/>
    <w:rsid w:val="79D95BF8"/>
    <w:rsid w:val="7A337338"/>
    <w:rsid w:val="7A476B1B"/>
    <w:rsid w:val="7AF56126"/>
    <w:rsid w:val="7B3B5395"/>
    <w:rsid w:val="7B413251"/>
    <w:rsid w:val="7C0E7DE9"/>
    <w:rsid w:val="7C590AB7"/>
    <w:rsid w:val="7CC96411"/>
    <w:rsid w:val="7D0C5EAE"/>
    <w:rsid w:val="7F86408F"/>
    <w:rsid w:val="7FD0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rFonts w:asciiTheme="minorHAnsi" w:hAnsiTheme="minorHAnsi" w:eastAsiaTheme="minorEastAsia" w:cstheme="minorBidi"/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  <w:rPr>
      <w:rFonts w:eastAsia="宋体"/>
    </w:rPr>
  </w:style>
  <w:style w:type="paragraph" w:styleId="6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link w:val="19"/>
    <w:qFormat/>
    <w:uiPriority w:val="0"/>
    <w:rPr>
      <w:rFonts w:eastAsia="宋体"/>
    </w:rPr>
  </w:style>
  <w:style w:type="paragraph" w:styleId="10">
    <w:name w:val="toc 2"/>
    <w:basedOn w:val="1"/>
    <w:next w:val="1"/>
    <w:qFormat/>
    <w:uiPriority w:val="0"/>
    <w:pPr>
      <w:ind w:left="420" w:leftChars="200"/>
    </w:pPr>
    <w:rPr>
      <w:rFonts w:eastAsia="宋体"/>
    </w:rPr>
  </w:style>
  <w:style w:type="character" w:customStyle="1" w:styleId="13">
    <w:name w:val="批注框文本 字符"/>
    <w:basedOn w:val="12"/>
    <w:link w:val="6"/>
    <w:semiHidden/>
    <w:qFormat/>
    <w:uiPriority w:val="99"/>
    <w:rPr>
      <w:rFonts w:ascii="Calibri" w:hAnsi="Calibri" w:eastAsia="微软雅黑" w:cs="Times New Roman"/>
      <w:sz w:val="18"/>
      <w:szCs w:val="18"/>
    </w:rPr>
  </w:style>
  <w:style w:type="character" w:customStyle="1" w:styleId="14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字符"/>
    <w:basedOn w:val="12"/>
    <w:link w:val="3"/>
    <w:qFormat/>
    <w:uiPriority w:val="0"/>
    <w:rPr>
      <w:rFonts w:ascii="Calibri Light" w:hAnsi="Calibri Light" w:eastAsia="微软雅黑" w:cs="Times New Roman"/>
      <w:b/>
      <w:bCs/>
      <w:sz w:val="32"/>
      <w:szCs w:val="32"/>
    </w:rPr>
  </w:style>
  <w:style w:type="character" w:customStyle="1" w:styleId="17">
    <w:name w:val="页眉 字符"/>
    <w:basedOn w:val="12"/>
    <w:link w:val="8"/>
    <w:qFormat/>
    <w:uiPriority w:val="99"/>
    <w:rPr>
      <w:rFonts w:ascii="Calibri" w:hAnsi="Calibri" w:eastAsia="微软雅黑" w:cs="Times New Roman"/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rFonts w:ascii="Calibri" w:hAnsi="Calibri" w:eastAsia="微软雅黑" w:cs="Times New Roman"/>
      <w:sz w:val="18"/>
      <w:szCs w:val="18"/>
    </w:rPr>
  </w:style>
  <w:style w:type="character" w:customStyle="1" w:styleId="19">
    <w:name w:val="目录 1 Char"/>
    <w:link w:val="9"/>
    <w:qFormat/>
    <w:uiPriority w:val="0"/>
    <w:rPr>
      <w:rFonts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1525</Words>
  <Characters>1620</Characters>
  <Lines>18</Lines>
  <Paragraphs>5</Paragraphs>
  <TotalTime>0</TotalTime>
  <ScaleCrop>false</ScaleCrop>
  <LinksUpToDate>false</LinksUpToDate>
  <CharactersWithSpaces>1666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2022-03-02T07:45:00Z</dcterms:created>
  <dc:creator>Admin</dc:creator>
  <cp:lastModifiedBy>15520097979</cp:lastModifiedBy>
  <dcterms:modified xsi:type="dcterms:W3CDTF">2024-10-10T06:11:05Z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179B48F05A00471A93CD3A6B6D6725D2_13</vt:lpwstr>
  </property>
</Properties>
</file>